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4C" w:rsidRPr="0034466D" w:rsidRDefault="008B5B4C" w:rsidP="00240DC4">
      <w:pPr>
        <w:tabs>
          <w:tab w:val="left" w:pos="720"/>
          <w:tab w:val="left" w:pos="1440"/>
        </w:tabs>
        <w:rPr>
          <w:b/>
        </w:rPr>
      </w:pPr>
      <w:bookmarkStart w:id="0" w:name="_GoBack"/>
      <w:bookmarkEnd w:id="0"/>
    </w:p>
    <w:p w:rsidR="00314030" w:rsidRDefault="00314030" w:rsidP="00620389">
      <w:pPr>
        <w:tabs>
          <w:tab w:val="left" w:pos="720"/>
        </w:tabs>
        <w:jc w:val="center"/>
        <w:rPr>
          <w:b/>
        </w:rPr>
      </w:pPr>
    </w:p>
    <w:p w:rsidR="00620389" w:rsidRPr="00CE77A8" w:rsidRDefault="00314030" w:rsidP="00620389">
      <w:pPr>
        <w:tabs>
          <w:tab w:val="left" w:pos="720"/>
        </w:tabs>
        <w:jc w:val="center"/>
        <w:rPr>
          <w:b/>
        </w:rPr>
      </w:pPr>
      <w:r>
        <w:rPr>
          <w:b/>
        </w:rPr>
        <w:t>SENNHEISER ELECTROINC CORPORATION</w:t>
      </w:r>
    </w:p>
    <w:p w:rsidR="00620389" w:rsidRDefault="00620389" w:rsidP="00620389">
      <w:pPr>
        <w:tabs>
          <w:tab w:val="left" w:pos="720"/>
          <w:tab w:val="left" w:pos="1440"/>
        </w:tabs>
        <w:jc w:val="center"/>
        <w:rPr>
          <w:b/>
        </w:rPr>
      </w:pPr>
      <w:r w:rsidRPr="0034466D">
        <w:rPr>
          <w:b/>
        </w:rPr>
        <w:t>End User License and Warranty</w:t>
      </w:r>
    </w:p>
    <w:p w:rsidR="00620389" w:rsidRDefault="00620389" w:rsidP="00620389">
      <w:pPr>
        <w:tabs>
          <w:tab w:val="left" w:pos="720"/>
          <w:tab w:val="left" w:pos="1440"/>
        </w:tabs>
        <w:jc w:val="center"/>
        <w:rPr>
          <w:b/>
        </w:rPr>
      </w:pPr>
    </w:p>
    <w:p w:rsidR="00620389" w:rsidRPr="00051ADB" w:rsidRDefault="00620389" w:rsidP="00620389">
      <w:pPr>
        <w:spacing w:after="240"/>
        <w:jc w:val="both"/>
        <w:rPr>
          <w:rFonts w:ascii="Verdana" w:hAnsi="Verdana"/>
          <w:color w:val="000000"/>
          <w:sz w:val="20"/>
          <w:szCs w:val="20"/>
        </w:rPr>
      </w:pPr>
      <w:r w:rsidRPr="00051ADB">
        <w:rPr>
          <w:rFonts w:ascii="Verdana" w:hAnsi="Verdana"/>
          <w:color w:val="000000"/>
          <w:sz w:val="20"/>
          <w:szCs w:val="20"/>
        </w:rPr>
        <w:t xml:space="preserve">The service policies and warranty statements on this page are relevant for all Sennheiser products and Sennheiser distributed brands purchased in the </w:t>
      </w:r>
      <w:r w:rsidR="00EB7396" w:rsidRPr="00051ADB">
        <w:rPr>
          <w:rFonts w:ascii="Verdana" w:hAnsi="Verdana"/>
          <w:color w:val="000000"/>
          <w:sz w:val="20"/>
          <w:szCs w:val="20"/>
        </w:rPr>
        <w:t xml:space="preserve">U.S... </w:t>
      </w:r>
      <w:r w:rsidRPr="00051ADB">
        <w:rPr>
          <w:rFonts w:ascii="Verdana" w:hAnsi="Verdana"/>
          <w:color w:val="000000"/>
          <w:sz w:val="20"/>
          <w:szCs w:val="20"/>
        </w:rPr>
        <w:t xml:space="preserve">Please note that certain items might be subject to different warranty and service conditions. </w:t>
      </w:r>
    </w:p>
    <w:p w:rsidR="00620389" w:rsidRPr="00051ADB" w:rsidRDefault="00620389" w:rsidP="00620389">
      <w:pPr>
        <w:jc w:val="both"/>
        <w:rPr>
          <w:rFonts w:ascii="Verdana" w:hAnsi="Verdana"/>
          <w:color w:val="000000"/>
          <w:sz w:val="20"/>
          <w:szCs w:val="20"/>
        </w:rPr>
      </w:pPr>
      <w:r w:rsidRPr="00051ADB">
        <w:rPr>
          <w:rFonts w:ascii="Verdana" w:hAnsi="Verdana"/>
          <w:color w:val="000000"/>
          <w:sz w:val="20"/>
          <w:szCs w:val="20"/>
        </w:rPr>
        <w:t xml:space="preserve">If you wish to discuss your individual service situation or submit a service inquiry please contact us or submit your service request online. </w:t>
      </w:r>
    </w:p>
    <w:p w:rsidR="00620389" w:rsidRPr="00051ADB" w:rsidRDefault="00620389" w:rsidP="00620389">
      <w:pPr>
        <w:spacing w:after="240"/>
        <w:rPr>
          <w:rFonts w:ascii="Verdana" w:hAnsi="Verdana"/>
          <w:b/>
          <w:bCs/>
          <w:color w:val="0E4466"/>
          <w:sz w:val="20"/>
          <w:szCs w:val="20"/>
        </w:rPr>
      </w:pPr>
      <w:r w:rsidRPr="00051ADB">
        <w:rPr>
          <w:rFonts w:ascii="Verdana" w:hAnsi="Verdana"/>
          <w:b/>
          <w:bCs/>
          <w:color w:val="0E4466"/>
          <w:sz w:val="20"/>
          <w:szCs w:val="20"/>
        </w:rPr>
        <w:br/>
        <w:t>Service and repairs covered by the manufacturer's warranty</w:t>
      </w:r>
    </w:p>
    <w:tbl>
      <w:tblPr>
        <w:tblW w:w="0" w:type="auto"/>
        <w:tblCellSpacing w:w="0" w:type="dxa"/>
        <w:tblCellMar>
          <w:left w:w="0" w:type="dxa"/>
          <w:right w:w="0" w:type="dxa"/>
        </w:tblCellMar>
        <w:tblLook w:val="0000" w:firstRow="0" w:lastRow="0" w:firstColumn="0" w:lastColumn="0" w:noHBand="0" w:noVBand="0"/>
      </w:tblPr>
      <w:tblGrid>
        <w:gridCol w:w="91"/>
        <w:gridCol w:w="8185"/>
      </w:tblGrid>
      <w:tr w:rsidR="00620389" w:rsidRPr="00051ADB" w:rsidTr="00FE41F2">
        <w:trPr>
          <w:tblCellSpacing w:w="0" w:type="dxa"/>
        </w:trPr>
        <w:tc>
          <w:tcPr>
            <w:tcW w:w="0" w:type="auto"/>
            <w:shd w:val="clear" w:color="auto" w:fill="auto"/>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w:t>
            </w:r>
          </w:p>
        </w:tc>
        <w:tc>
          <w:tcPr>
            <w:tcW w:w="0" w:type="auto"/>
            <w:shd w:val="clear" w:color="auto" w:fill="auto"/>
            <w:tcMar>
              <w:top w:w="0" w:type="dxa"/>
              <w:left w:w="200" w:type="dxa"/>
              <w:bottom w:w="40" w:type="dxa"/>
              <w:right w:w="0" w:type="dxa"/>
            </w:tcMar>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Sennheiser products: 2 years,</w:t>
            </w:r>
          </w:p>
        </w:tc>
      </w:tr>
      <w:tr w:rsidR="00620389" w:rsidRPr="00051ADB" w:rsidTr="00FE41F2">
        <w:trPr>
          <w:tblCellSpacing w:w="0" w:type="dxa"/>
        </w:trPr>
        <w:tc>
          <w:tcPr>
            <w:tcW w:w="0" w:type="auto"/>
            <w:shd w:val="clear" w:color="auto" w:fill="auto"/>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w:t>
            </w:r>
          </w:p>
        </w:tc>
        <w:tc>
          <w:tcPr>
            <w:tcW w:w="0" w:type="auto"/>
            <w:shd w:val="clear" w:color="auto" w:fill="auto"/>
            <w:tcMar>
              <w:top w:w="0" w:type="dxa"/>
              <w:left w:w="200" w:type="dxa"/>
              <w:bottom w:w="40" w:type="dxa"/>
              <w:right w:w="0" w:type="dxa"/>
            </w:tcMar>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Wired evolution products: 10 years</w:t>
            </w:r>
          </w:p>
        </w:tc>
      </w:tr>
      <w:tr w:rsidR="00620389" w:rsidRPr="00051ADB" w:rsidTr="00FE41F2">
        <w:trPr>
          <w:tblCellSpacing w:w="0" w:type="dxa"/>
        </w:trPr>
        <w:tc>
          <w:tcPr>
            <w:tcW w:w="0" w:type="auto"/>
            <w:shd w:val="clear" w:color="auto" w:fill="auto"/>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w:t>
            </w:r>
          </w:p>
        </w:tc>
        <w:tc>
          <w:tcPr>
            <w:tcW w:w="0" w:type="auto"/>
            <w:shd w:val="clear" w:color="auto" w:fill="auto"/>
            <w:tcMar>
              <w:top w:w="0" w:type="dxa"/>
              <w:left w:w="200" w:type="dxa"/>
              <w:bottom w:w="40" w:type="dxa"/>
              <w:right w:w="0" w:type="dxa"/>
            </w:tcMar>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Avionic products: 5 years (selective products 10 years)</w:t>
            </w:r>
          </w:p>
        </w:tc>
      </w:tr>
      <w:tr w:rsidR="00620389" w:rsidRPr="00051ADB" w:rsidTr="00FE41F2">
        <w:trPr>
          <w:tblCellSpacing w:w="0" w:type="dxa"/>
        </w:trPr>
        <w:tc>
          <w:tcPr>
            <w:tcW w:w="0" w:type="auto"/>
            <w:shd w:val="clear" w:color="auto" w:fill="auto"/>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w:t>
            </w:r>
          </w:p>
        </w:tc>
        <w:tc>
          <w:tcPr>
            <w:tcW w:w="0" w:type="auto"/>
            <w:shd w:val="clear" w:color="auto" w:fill="auto"/>
            <w:tcMar>
              <w:top w:w="0" w:type="dxa"/>
              <w:left w:w="200" w:type="dxa"/>
              <w:bottom w:w="40" w:type="dxa"/>
              <w:right w:w="0" w:type="dxa"/>
            </w:tcMar>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Neumann products: 1 year</w:t>
            </w:r>
          </w:p>
        </w:tc>
      </w:tr>
      <w:tr w:rsidR="00620389" w:rsidRPr="00051ADB" w:rsidTr="00FE41F2">
        <w:trPr>
          <w:tblCellSpacing w:w="0" w:type="dxa"/>
        </w:trPr>
        <w:tc>
          <w:tcPr>
            <w:tcW w:w="0" w:type="auto"/>
            <w:shd w:val="clear" w:color="auto" w:fill="auto"/>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w:t>
            </w:r>
          </w:p>
        </w:tc>
        <w:tc>
          <w:tcPr>
            <w:tcW w:w="0" w:type="auto"/>
            <w:shd w:val="clear" w:color="auto" w:fill="auto"/>
            <w:tcMar>
              <w:top w:w="0" w:type="dxa"/>
              <w:left w:w="200" w:type="dxa"/>
              <w:bottom w:w="40" w:type="dxa"/>
              <w:right w:w="0" w:type="dxa"/>
            </w:tcMar>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HHB: 1 year</w:t>
            </w:r>
          </w:p>
        </w:tc>
      </w:tr>
      <w:tr w:rsidR="00620389" w:rsidRPr="00051ADB" w:rsidTr="00FE41F2">
        <w:trPr>
          <w:tblCellSpacing w:w="0" w:type="dxa"/>
        </w:trPr>
        <w:tc>
          <w:tcPr>
            <w:tcW w:w="0" w:type="auto"/>
            <w:shd w:val="clear" w:color="auto" w:fill="auto"/>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w:t>
            </w:r>
          </w:p>
        </w:tc>
        <w:tc>
          <w:tcPr>
            <w:tcW w:w="0" w:type="auto"/>
            <w:shd w:val="clear" w:color="auto" w:fill="auto"/>
            <w:tcMar>
              <w:top w:w="0" w:type="dxa"/>
              <w:left w:w="200" w:type="dxa"/>
              <w:bottom w:w="40" w:type="dxa"/>
              <w:right w:w="0" w:type="dxa"/>
            </w:tcMar>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Klein and Hummel: 1 year</w:t>
            </w:r>
          </w:p>
        </w:tc>
      </w:tr>
      <w:tr w:rsidR="00620389" w:rsidRPr="00051ADB" w:rsidTr="00FE41F2">
        <w:trPr>
          <w:tblCellSpacing w:w="0" w:type="dxa"/>
        </w:trPr>
        <w:tc>
          <w:tcPr>
            <w:tcW w:w="0" w:type="auto"/>
            <w:shd w:val="clear" w:color="auto" w:fill="auto"/>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w:t>
            </w:r>
          </w:p>
        </w:tc>
        <w:tc>
          <w:tcPr>
            <w:tcW w:w="0" w:type="auto"/>
            <w:shd w:val="clear" w:color="auto" w:fill="auto"/>
            <w:tcMar>
              <w:top w:w="0" w:type="dxa"/>
              <w:left w:w="200" w:type="dxa"/>
              <w:bottom w:w="40" w:type="dxa"/>
              <w:right w:w="0" w:type="dxa"/>
            </w:tcMar>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Refurbished products: 90 days</w:t>
            </w:r>
          </w:p>
        </w:tc>
      </w:tr>
      <w:tr w:rsidR="00620389" w:rsidRPr="00051ADB" w:rsidTr="00FE41F2">
        <w:trPr>
          <w:tblCellSpacing w:w="0" w:type="dxa"/>
        </w:trPr>
        <w:tc>
          <w:tcPr>
            <w:tcW w:w="0" w:type="auto"/>
            <w:shd w:val="clear" w:color="auto" w:fill="auto"/>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w:t>
            </w:r>
          </w:p>
        </w:tc>
        <w:tc>
          <w:tcPr>
            <w:tcW w:w="0" w:type="auto"/>
            <w:shd w:val="clear" w:color="auto" w:fill="auto"/>
            <w:tcMar>
              <w:top w:w="0" w:type="dxa"/>
              <w:left w:w="200" w:type="dxa"/>
              <w:bottom w:w="40" w:type="dxa"/>
              <w:right w:w="0" w:type="dxa"/>
            </w:tcMar>
          </w:tcPr>
          <w:p w:rsidR="00620389" w:rsidRPr="00051ADB" w:rsidRDefault="00620389" w:rsidP="00FE41F2">
            <w:pPr>
              <w:rPr>
                <w:rFonts w:ascii="Verdana" w:hAnsi="Verdana"/>
                <w:color w:val="000000"/>
                <w:sz w:val="20"/>
                <w:szCs w:val="20"/>
              </w:rPr>
            </w:pPr>
            <w:r w:rsidRPr="00051ADB">
              <w:rPr>
                <w:rFonts w:ascii="Verdana" w:hAnsi="Verdana"/>
                <w:color w:val="000000"/>
                <w:sz w:val="20"/>
                <w:szCs w:val="20"/>
              </w:rPr>
              <w:t>"Out of Warranty" replacements for telecom headsets carry a 1 year guarantee</w:t>
            </w:r>
          </w:p>
        </w:tc>
      </w:tr>
    </w:tbl>
    <w:p w:rsidR="00620389" w:rsidRPr="00051ADB" w:rsidRDefault="00620389" w:rsidP="00620389">
      <w:pPr>
        <w:spacing w:after="240"/>
        <w:rPr>
          <w:rFonts w:ascii="Verdana" w:hAnsi="Verdana"/>
          <w:b/>
          <w:bCs/>
          <w:color w:val="0E4466"/>
          <w:sz w:val="20"/>
          <w:szCs w:val="20"/>
        </w:rPr>
      </w:pPr>
      <w:r w:rsidRPr="00051ADB">
        <w:rPr>
          <w:rFonts w:ascii="Verdana" w:hAnsi="Verdana"/>
          <w:color w:val="434545"/>
          <w:sz w:val="20"/>
          <w:szCs w:val="20"/>
        </w:rPr>
        <w:t>For details, refer to the manufacturer specific Limited Product Warranty statements.</w:t>
      </w:r>
      <w:r w:rsidRPr="00051ADB">
        <w:rPr>
          <w:rFonts w:ascii="Verdana" w:hAnsi="Verdana"/>
          <w:color w:val="434545"/>
          <w:sz w:val="20"/>
          <w:szCs w:val="20"/>
        </w:rPr>
        <w:br/>
      </w:r>
      <w:r w:rsidRPr="00051ADB">
        <w:rPr>
          <w:rFonts w:ascii="Verdana" w:hAnsi="Verdana"/>
          <w:color w:val="434545"/>
          <w:sz w:val="20"/>
          <w:szCs w:val="20"/>
        </w:rPr>
        <w:br/>
        <w:t>Applicable to all manufacturers represented by Sennheiser Electronic Corporation (SEC) are the following conditions:</w:t>
      </w:r>
      <w:r w:rsidRPr="00051ADB">
        <w:rPr>
          <w:rFonts w:ascii="Verdana" w:hAnsi="Verdana"/>
          <w:color w:val="434545"/>
          <w:sz w:val="20"/>
          <w:szCs w:val="20"/>
        </w:rPr>
        <w:br/>
      </w:r>
      <w:r w:rsidRPr="00051ADB">
        <w:rPr>
          <w:rFonts w:ascii="Verdana" w:hAnsi="Verdana"/>
          <w:color w:val="434545"/>
          <w:sz w:val="20"/>
          <w:szCs w:val="20"/>
        </w:rPr>
        <w:br/>
        <w:t xml:space="preserve">Not covered by SEC's warranty are accessories, batteries and other consumables. The manufacturer's warranties are limited to physical defects in the materials, parts and workmanship used in making the product. Abnormal conditions, deliberate abuse and damage due to accidents, operator's error, or unauthorized service attempts are excluded from any warranty claims. </w:t>
      </w:r>
      <w:r w:rsidRPr="00051ADB">
        <w:rPr>
          <w:rFonts w:ascii="Verdana" w:hAnsi="Verdana"/>
          <w:color w:val="434545"/>
          <w:sz w:val="20"/>
          <w:szCs w:val="20"/>
        </w:rPr>
        <w:br/>
      </w:r>
      <w:r w:rsidRPr="00051ADB">
        <w:rPr>
          <w:rFonts w:ascii="Verdana" w:hAnsi="Verdana"/>
          <w:color w:val="434545"/>
          <w:sz w:val="20"/>
          <w:szCs w:val="20"/>
        </w:rPr>
        <w:br/>
        <w:t xml:space="preserve">Under the warranty SEC will repair, or at its option, replace the product at no charge, provided it is returned (postage paid, with proof of purchase from the original seller) to a Sennheiser Service Facility. Products should be returned in their original package, or otherwise suitably protected to avoid shipping damage. A valid, dated proof of purchase from an authorized Sennheiser dealer or reseller is accepted to establish the warranty period. The SEC Service Department shall be the sole and final authority to determine the validity of all warranty issues. </w:t>
      </w:r>
      <w:r w:rsidRPr="00051ADB">
        <w:rPr>
          <w:rFonts w:ascii="Verdana" w:hAnsi="Verdana"/>
          <w:color w:val="434545"/>
          <w:sz w:val="20"/>
          <w:szCs w:val="20"/>
        </w:rPr>
        <w:br/>
      </w:r>
      <w:r w:rsidRPr="00051ADB">
        <w:rPr>
          <w:rFonts w:ascii="Verdana" w:hAnsi="Verdana"/>
          <w:color w:val="434545"/>
          <w:sz w:val="20"/>
          <w:szCs w:val="20"/>
        </w:rPr>
        <w:br/>
        <w:t xml:space="preserve">This Limited Product Warranty is SEC's only warranty, and the customer's only remedy concerning the product. All other representations, warranties or conditions, express or implied, written or oral, including any warranties of merchantability, fitness for a particular purpose, or non-infringement, are expressly excluded. As a result, except as set forth in the previous paragraphs, the product is sold "as-is" and the customer is assuming the entire risk as to the product's suitability for his needs, its quality and its performance. </w:t>
      </w:r>
      <w:r w:rsidRPr="00051ADB">
        <w:rPr>
          <w:rFonts w:ascii="Verdana" w:hAnsi="Verdana"/>
          <w:color w:val="434545"/>
          <w:sz w:val="20"/>
          <w:szCs w:val="20"/>
        </w:rPr>
        <w:br/>
      </w:r>
      <w:r w:rsidRPr="00051ADB">
        <w:rPr>
          <w:rFonts w:ascii="Verdana" w:hAnsi="Verdana"/>
          <w:color w:val="434545"/>
          <w:sz w:val="20"/>
          <w:szCs w:val="20"/>
        </w:rPr>
        <w:br/>
        <w:t xml:space="preserve">In no event will SEC be liable for direct, indirect, special, incidental or consequential damages resulting from any defect in the product or from its use, even if advised of the possibility of such damages. </w:t>
      </w:r>
      <w:r w:rsidRPr="00051ADB">
        <w:rPr>
          <w:rFonts w:ascii="Verdana" w:hAnsi="Verdana"/>
          <w:color w:val="434545"/>
          <w:sz w:val="20"/>
          <w:szCs w:val="20"/>
        </w:rPr>
        <w:br/>
      </w:r>
      <w:r w:rsidRPr="00051ADB">
        <w:rPr>
          <w:rFonts w:ascii="Verdana" w:hAnsi="Verdana"/>
          <w:color w:val="434545"/>
          <w:sz w:val="20"/>
          <w:szCs w:val="20"/>
        </w:rPr>
        <w:lastRenderedPageBreak/>
        <w:br/>
        <w:t>All exclusions and limitations in this warranty are made only to the extent permitted by applicable law and shall not be in conflict with the express requirements of applicable law.</w:t>
      </w:r>
      <w:r w:rsidRPr="00051ADB">
        <w:rPr>
          <w:rFonts w:ascii="Verdana" w:hAnsi="Verdana"/>
          <w:b/>
          <w:bCs/>
          <w:color w:val="0E4466"/>
          <w:sz w:val="20"/>
          <w:szCs w:val="20"/>
        </w:rPr>
        <w:t xml:space="preserve"> </w:t>
      </w:r>
    </w:p>
    <w:p w:rsidR="00B66D01" w:rsidRDefault="00620389" w:rsidP="00620389">
      <w:pPr>
        <w:spacing w:after="240"/>
        <w:rPr>
          <w:rFonts w:ascii="Verdana" w:hAnsi="Verdana"/>
          <w:color w:val="000000"/>
          <w:sz w:val="20"/>
          <w:szCs w:val="20"/>
        </w:rPr>
      </w:pPr>
      <w:r w:rsidRPr="00051ADB">
        <w:rPr>
          <w:rFonts w:ascii="Verdana" w:hAnsi="Verdana"/>
          <w:b/>
          <w:bCs/>
          <w:color w:val="0E4466"/>
          <w:sz w:val="20"/>
          <w:szCs w:val="20"/>
        </w:rPr>
        <w:t>Services And Repairs Not Covered By Warranty</w:t>
      </w:r>
    </w:p>
    <w:p w:rsidR="00620389" w:rsidRPr="00051ADB" w:rsidRDefault="00620389" w:rsidP="00620389">
      <w:pPr>
        <w:spacing w:after="240"/>
        <w:rPr>
          <w:rFonts w:ascii="Verdana" w:hAnsi="Verdana"/>
          <w:color w:val="000000"/>
          <w:sz w:val="20"/>
          <w:szCs w:val="20"/>
        </w:rPr>
      </w:pPr>
      <w:r w:rsidRPr="00051ADB">
        <w:rPr>
          <w:rFonts w:ascii="Verdana" w:hAnsi="Verdana"/>
          <w:color w:val="000000"/>
          <w:sz w:val="20"/>
          <w:szCs w:val="20"/>
        </w:rPr>
        <w:t>a) Current Products:</w:t>
      </w:r>
      <w:r w:rsidRPr="00051ADB">
        <w:rPr>
          <w:rFonts w:ascii="Verdana" w:hAnsi="Verdana"/>
          <w:color w:val="000000"/>
          <w:sz w:val="20"/>
          <w:szCs w:val="20"/>
        </w:rPr>
        <w:br/>
        <w:t xml:space="preserve">All repairs for current products will be charged according to the service repair pricing schedule. Please </w:t>
      </w:r>
      <w:r w:rsidR="00B0479E">
        <w:fldChar w:fldCharType="begin"/>
      </w:r>
      <w:r w:rsidR="00B0479E">
        <w:instrText xml:space="preserve"> HYPERLINK "http://www.sennheiserusa.com/repair/ServiceRequest.pdf" \t "_blank" </w:instrText>
      </w:r>
      <w:r w:rsidR="00B0479E">
        <w:fldChar w:fldCharType="separate"/>
      </w:r>
      <w:r w:rsidRPr="00051ADB">
        <w:rPr>
          <w:rStyle w:val="Hyperlink"/>
          <w:b/>
          <w:bCs/>
          <w:color w:val="000000"/>
        </w:rPr>
        <w:t>click here</w:t>
      </w:r>
      <w:r w:rsidR="00B0479E">
        <w:rPr>
          <w:rStyle w:val="Hyperlink"/>
          <w:b/>
          <w:bCs/>
          <w:color w:val="000000"/>
        </w:rPr>
        <w:fldChar w:fldCharType="end"/>
      </w:r>
      <w:r w:rsidRPr="00051ADB">
        <w:rPr>
          <w:rFonts w:ascii="Verdana" w:hAnsi="Verdana"/>
          <w:color w:val="000000"/>
          <w:sz w:val="20"/>
          <w:szCs w:val="20"/>
        </w:rPr>
        <w:t xml:space="preserve"> to download the price schedule.</w:t>
      </w:r>
      <w:r w:rsidRPr="00051ADB">
        <w:rPr>
          <w:rFonts w:ascii="Verdana" w:hAnsi="Verdana"/>
          <w:color w:val="000000"/>
          <w:sz w:val="20"/>
          <w:szCs w:val="20"/>
        </w:rPr>
        <w:br/>
      </w:r>
      <w:r w:rsidRPr="00051ADB">
        <w:rPr>
          <w:rFonts w:ascii="Verdana" w:hAnsi="Verdana"/>
          <w:color w:val="000000"/>
          <w:sz w:val="20"/>
          <w:szCs w:val="20"/>
        </w:rPr>
        <w:br/>
        <w:t xml:space="preserve">(This is a PDF document and Adobe Acrobat Reader is required. You can download Acrobat Reader by clicking </w:t>
      </w:r>
      <w:r w:rsidR="00B0479E">
        <w:fldChar w:fldCharType="begin"/>
      </w:r>
      <w:r w:rsidR="00B0479E">
        <w:instrText xml:space="preserve"> HYPERLINK "http://www.8-free.com/pdf/index.asp?PID=c625416d-5c5f-4c99-bfdd-cbd2891a48e8" \t "_blank" </w:instrText>
      </w:r>
      <w:r w:rsidR="00B0479E">
        <w:fldChar w:fldCharType="separate"/>
      </w:r>
      <w:r w:rsidRPr="00051ADB">
        <w:rPr>
          <w:rStyle w:val="Hyperlink"/>
          <w:b/>
          <w:bCs/>
          <w:color w:val="000000"/>
        </w:rPr>
        <w:t>here</w:t>
      </w:r>
      <w:r w:rsidR="00B0479E">
        <w:rPr>
          <w:rStyle w:val="Hyperlink"/>
          <w:b/>
          <w:bCs/>
          <w:color w:val="000000"/>
        </w:rPr>
        <w:fldChar w:fldCharType="end"/>
      </w:r>
      <w:r w:rsidRPr="00051ADB">
        <w:rPr>
          <w:rFonts w:ascii="Verdana" w:hAnsi="Verdana"/>
          <w:color w:val="000000"/>
          <w:sz w:val="20"/>
          <w:szCs w:val="20"/>
        </w:rPr>
        <w:t>)</w:t>
      </w:r>
      <w:r w:rsidRPr="00051ADB">
        <w:rPr>
          <w:rFonts w:ascii="Verdana" w:hAnsi="Verdana"/>
          <w:color w:val="000000"/>
          <w:sz w:val="20"/>
          <w:szCs w:val="20"/>
        </w:rPr>
        <w:br/>
      </w:r>
      <w:r w:rsidRPr="00051ADB">
        <w:rPr>
          <w:rFonts w:ascii="Verdana" w:hAnsi="Verdana"/>
          <w:color w:val="000000"/>
          <w:sz w:val="20"/>
          <w:szCs w:val="20"/>
        </w:rPr>
        <w:br/>
        <w:t xml:space="preserve">Repair prices will either be based on a flat fee for repair or replacement, or will be estimated depending on the product category. Repairs costing more than 50% of the retail price of the new product are deemed not economically repairable. It will be up to the customer to choose to continue with the repair, receive the product back unrepaired, or purchase a new product at 50% of suggested retail price. </w:t>
      </w:r>
      <w:r w:rsidRPr="00051ADB">
        <w:rPr>
          <w:rFonts w:ascii="Verdana" w:hAnsi="Verdana"/>
          <w:color w:val="000000"/>
          <w:sz w:val="20"/>
          <w:szCs w:val="20"/>
        </w:rPr>
        <w:br/>
      </w:r>
      <w:r w:rsidRPr="00051ADB">
        <w:rPr>
          <w:rFonts w:ascii="Verdana" w:hAnsi="Verdana"/>
          <w:color w:val="000000"/>
          <w:sz w:val="20"/>
          <w:szCs w:val="20"/>
        </w:rPr>
        <w:br/>
        <w:t>b) 'Vintage', Collector's and obsolete Equipment:</w:t>
      </w:r>
      <w:r w:rsidRPr="00051ADB">
        <w:rPr>
          <w:rFonts w:ascii="Verdana" w:hAnsi="Verdana"/>
          <w:color w:val="000000"/>
          <w:sz w:val="20"/>
          <w:szCs w:val="20"/>
        </w:rPr>
        <w:br/>
        <w:t xml:space="preserve">Service within customer approved maximum cost limits, otherwise an itemized estimate will be submitted for approval. The cost for a diagnostic estimate shall be $35.00 and count toward the first hour of labor. </w:t>
      </w:r>
      <w:r w:rsidRPr="00051ADB">
        <w:rPr>
          <w:rFonts w:ascii="Verdana" w:hAnsi="Verdana"/>
          <w:color w:val="000000"/>
          <w:sz w:val="20"/>
          <w:szCs w:val="20"/>
        </w:rPr>
        <w:br/>
      </w:r>
      <w:r w:rsidRPr="00051ADB">
        <w:rPr>
          <w:rFonts w:ascii="Verdana" w:hAnsi="Verdana"/>
          <w:color w:val="000000"/>
          <w:sz w:val="20"/>
          <w:szCs w:val="20"/>
        </w:rPr>
        <w:br/>
        <w:t>c) Express Service (Warranty and Out-of-Warranty):</w:t>
      </w:r>
      <w:r w:rsidRPr="00051ADB">
        <w:rPr>
          <w:rFonts w:ascii="Verdana" w:hAnsi="Verdana"/>
          <w:color w:val="000000"/>
          <w:sz w:val="20"/>
          <w:szCs w:val="20"/>
        </w:rPr>
        <w:br/>
        <w:t xml:space="preserve">Sennheiser Electronic Corporation will strive to satisfy all service requests in the fastest manner possible. Arrangements may be negotiated separately with our Service Department in advance for extraordinary requests, such as express and on-site services. </w:t>
      </w:r>
      <w:r w:rsidRPr="00051ADB">
        <w:rPr>
          <w:rFonts w:ascii="Verdana" w:hAnsi="Verdana"/>
          <w:color w:val="000000"/>
          <w:sz w:val="20"/>
          <w:szCs w:val="20"/>
        </w:rPr>
        <w:br/>
      </w:r>
      <w:r w:rsidRPr="00051ADB">
        <w:rPr>
          <w:rFonts w:ascii="Verdana" w:hAnsi="Verdana"/>
          <w:color w:val="000000"/>
          <w:sz w:val="20"/>
          <w:szCs w:val="20"/>
        </w:rPr>
        <w:br/>
        <w:t>d) Service Warranty:</w:t>
      </w:r>
      <w:r w:rsidRPr="00051ADB">
        <w:rPr>
          <w:rFonts w:ascii="Verdana" w:hAnsi="Verdana"/>
          <w:color w:val="000000"/>
          <w:sz w:val="20"/>
          <w:szCs w:val="20"/>
        </w:rPr>
        <w:br/>
        <w:t xml:space="preserve">SEC warrants all service repairs and replacements for 90 days from the date of return to their customer. This warranty specifically excludes unrelated additional defects or failures. Otherwise the some general provisions of the limited product warranties apply. </w:t>
      </w:r>
      <w:r w:rsidRPr="00051ADB">
        <w:rPr>
          <w:rFonts w:ascii="Verdana" w:hAnsi="Verdana"/>
          <w:color w:val="000000"/>
          <w:sz w:val="20"/>
          <w:szCs w:val="20"/>
        </w:rPr>
        <w:br/>
      </w:r>
      <w:r w:rsidRPr="00051ADB">
        <w:rPr>
          <w:rFonts w:ascii="Verdana" w:hAnsi="Verdana"/>
          <w:color w:val="000000"/>
          <w:sz w:val="20"/>
          <w:szCs w:val="20"/>
        </w:rPr>
        <w:br/>
        <w:t>e) Shipping Address for Service:</w:t>
      </w:r>
      <w:r w:rsidRPr="00051ADB">
        <w:rPr>
          <w:rFonts w:ascii="Verdana" w:hAnsi="Verdana"/>
          <w:color w:val="000000"/>
          <w:sz w:val="20"/>
          <w:szCs w:val="20"/>
        </w:rPr>
        <w:br/>
      </w:r>
      <w:r w:rsidRPr="00051ADB">
        <w:rPr>
          <w:rFonts w:ascii="Verdana" w:hAnsi="Verdana"/>
          <w:color w:val="000000"/>
          <w:sz w:val="20"/>
          <w:szCs w:val="20"/>
        </w:rPr>
        <w:br/>
        <w:t>Sennheiser Electronic Corporation</w:t>
      </w:r>
      <w:r w:rsidRPr="00051ADB">
        <w:rPr>
          <w:rFonts w:ascii="Verdana" w:hAnsi="Verdana"/>
          <w:color w:val="000000"/>
          <w:sz w:val="20"/>
          <w:szCs w:val="20"/>
        </w:rPr>
        <w:br/>
        <w:t>attn.: Service Department</w:t>
      </w:r>
      <w:r w:rsidRPr="00051ADB">
        <w:rPr>
          <w:rFonts w:ascii="Verdana" w:hAnsi="Verdana"/>
          <w:color w:val="000000"/>
          <w:sz w:val="20"/>
          <w:szCs w:val="20"/>
        </w:rPr>
        <w:br/>
        <w:t>1 Enterprise Drive</w:t>
      </w:r>
      <w:r w:rsidRPr="00051ADB">
        <w:rPr>
          <w:rFonts w:ascii="Verdana" w:hAnsi="Verdana"/>
          <w:color w:val="000000"/>
          <w:sz w:val="20"/>
          <w:szCs w:val="20"/>
        </w:rPr>
        <w:br/>
        <w:t>Old Lyme, CT 06371-1568</w:t>
      </w:r>
      <w:r w:rsidRPr="00051ADB">
        <w:rPr>
          <w:rFonts w:ascii="Verdana" w:hAnsi="Verdana"/>
          <w:color w:val="000000"/>
          <w:sz w:val="20"/>
          <w:szCs w:val="20"/>
        </w:rPr>
        <w:br/>
      </w:r>
      <w:r w:rsidRPr="00051ADB">
        <w:rPr>
          <w:rFonts w:ascii="Verdana" w:hAnsi="Verdana"/>
          <w:color w:val="000000"/>
          <w:sz w:val="20"/>
          <w:szCs w:val="20"/>
        </w:rPr>
        <w:br/>
        <w:t>Tel: 860-434-9190 Fax: 860-434-1759</w:t>
      </w:r>
      <w:r w:rsidRPr="00051ADB">
        <w:rPr>
          <w:rFonts w:ascii="Verdana" w:hAnsi="Verdana"/>
          <w:color w:val="000000"/>
          <w:sz w:val="20"/>
          <w:szCs w:val="20"/>
        </w:rPr>
        <w:br/>
      </w:r>
      <w:r w:rsidRPr="00051ADB">
        <w:rPr>
          <w:rFonts w:ascii="Verdana" w:hAnsi="Verdana"/>
          <w:color w:val="000000"/>
          <w:sz w:val="20"/>
          <w:szCs w:val="20"/>
        </w:rPr>
        <w:br/>
        <w:t>USA 01/09/03</w:t>
      </w:r>
    </w:p>
    <w:p w:rsidR="00620389" w:rsidRDefault="00620389" w:rsidP="00620389"/>
    <w:p w:rsidR="0034466D" w:rsidRPr="0034466D" w:rsidRDefault="0034466D" w:rsidP="00F749E8">
      <w:pPr>
        <w:tabs>
          <w:tab w:val="left" w:pos="720"/>
        </w:tabs>
        <w:ind w:left="720"/>
      </w:pPr>
    </w:p>
    <w:sectPr w:rsidR="0034466D" w:rsidRPr="0034466D" w:rsidSect="000A1458">
      <w:footerReference w:type="default" r:id="rId9"/>
      <w:type w:val="continuous"/>
      <w:pgSz w:w="12240" w:h="15840" w:code="1"/>
      <w:pgMar w:top="1440" w:right="1440" w:bottom="1440" w:left="1440" w:header="720" w:footer="27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699" w:rsidRDefault="00D22699">
      <w:r>
        <w:separator/>
      </w:r>
    </w:p>
    <w:p w:rsidR="00D22699" w:rsidRDefault="00D22699"/>
  </w:endnote>
  <w:endnote w:type="continuationSeparator" w:id="0">
    <w:p w:rsidR="00D22699" w:rsidRDefault="00D22699">
      <w:r>
        <w:continuationSeparator/>
      </w:r>
    </w:p>
    <w:p w:rsidR="00D22699" w:rsidRDefault="00D22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167014"/>
      <w:docPartObj>
        <w:docPartGallery w:val="Page Numbers (Bottom of Page)"/>
        <w:docPartUnique/>
      </w:docPartObj>
    </w:sdtPr>
    <w:sdtEndPr/>
    <w:sdtContent>
      <w:sdt>
        <w:sdtPr>
          <w:id w:val="-1669238322"/>
          <w:docPartObj>
            <w:docPartGallery w:val="Page Numbers (Top of Page)"/>
            <w:docPartUnique/>
          </w:docPartObj>
        </w:sdtPr>
        <w:sdtEndPr/>
        <w:sdtContent>
          <w:p w:rsidR="00314030" w:rsidRDefault="00314030">
            <w:pPr>
              <w:pStyle w:val="Footer"/>
              <w:jc w:val="center"/>
              <w:rPr>
                <w:b/>
                <w:bCs/>
                <w:sz w:val="18"/>
                <w:szCs w:val="18"/>
              </w:rPr>
            </w:pPr>
            <w:r w:rsidRPr="00177271">
              <w:rPr>
                <w:sz w:val="18"/>
                <w:szCs w:val="18"/>
              </w:rPr>
              <w:t xml:space="preserve">Page </w:t>
            </w:r>
            <w:r w:rsidRPr="00177271">
              <w:rPr>
                <w:b/>
                <w:bCs/>
                <w:sz w:val="18"/>
                <w:szCs w:val="18"/>
              </w:rPr>
              <w:fldChar w:fldCharType="begin"/>
            </w:r>
            <w:r w:rsidRPr="00177271">
              <w:rPr>
                <w:b/>
                <w:bCs/>
                <w:sz w:val="18"/>
                <w:szCs w:val="18"/>
              </w:rPr>
              <w:instrText xml:space="preserve"> PAGE </w:instrText>
            </w:r>
            <w:r w:rsidRPr="00177271">
              <w:rPr>
                <w:b/>
                <w:bCs/>
                <w:sz w:val="18"/>
                <w:szCs w:val="18"/>
              </w:rPr>
              <w:fldChar w:fldCharType="separate"/>
            </w:r>
            <w:r w:rsidR="00B0479E">
              <w:rPr>
                <w:b/>
                <w:bCs/>
                <w:noProof/>
                <w:sz w:val="18"/>
                <w:szCs w:val="18"/>
              </w:rPr>
              <w:t>2</w:t>
            </w:r>
            <w:r w:rsidRPr="00177271">
              <w:rPr>
                <w:b/>
                <w:bCs/>
                <w:sz w:val="18"/>
                <w:szCs w:val="18"/>
              </w:rPr>
              <w:fldChar w:fldCharType="end"/>
            </w:r>
            <w:r w:rsidRPr="00177271">
              <w:rPr>
                <w:sz w:val="18"/>
                <w:szCs w:val="18"/>
              </w:rPr>
              <w:t xml:space="preserve"> of </w:t>
            </w:r>
            <w:r w:rsidRPr="00177271">
              <w:rPr>
                <w:b/>
                <w:bCs/>
                <w:sz w:val="18"/>
                <w:szCs w:val="18"/>
              </w:rPr>
              <w:fldChar w:fldCharType="begin"/>
            </w:r>
            <w:r w:rsidRPr="00177271">
              <w:rPr>
                <w:b/>
                <w:bCs/>
                <w:sz w:val="18"/>
                <w:szCs w:val="18"/>
              </w:rPr>
              <w:instrText xml:space="preserve"> NUMPAGES  </w:instrText>
            </w:r>
            <w:r w:rsidRPr="00177271">
              <w:rPr>
                <w:b/>
                <w:bCs/>
                <w:sz w:val="18"/>
                <w:szCs w:val="18"/>
              </w:rPr>
              <w:fldChar w:fldCharType="separate"/>
            </w:r>
            <w:r w:rsidR="00B0479E">
              <w:rPr>
                <w:b/>
                <w:bCs/>
                <w:noProof/>
                <w:sz w:val="18"/>
                <w:szCs w:val="18"/>
              </w:rPr>
              <w:t>2</w:t>
            </w:r>
            <w:r w:rsidRPr="00177271">
              <w:rPr>
                <w:b/>
                <w:bCs/>
                <w:sz w:val="18"/>
                <w:szCs w:val="18"/>
              </w:rPr>
              <w:fldChar w:fldCharType="end"/>
            </w:r>
          </w:p>
          <w:p w:rsidR="00177271" w:rsidRPr="00177271" w:rsidRDefault="00177271">
            <w:pPr>
              <w:pStyle w:val="Footer"/>
              <w:jc w:val="center"/>
              <w:rPr>
                <w:b/>
                <w:bCs/>
                <w:sz w:val="18"/>
                <w:szCs w:val="18"/>
              </w:rPr>
            </w:pPr>
          </w:p>
          <w:p w:rsidR="00177271" w:rsidRDefault="00314030" w:rsidP="00177271">
            <w:pPr>
              <w:pStyle w:val="Footer"/>
              <w:jc w:val="right"/>
              <w:rPr>
                <w:sz w:val="18"/>
                <w:szCs w:val="18"/>
              </w:rPr>
            </w:pPr>
            <w:r w:rsidRPr="00177271">
              <w:rPr>
                <w:sz w:val="18"/>
                <w:szCs w:val="18"/>
              </w:rPr>
              <w:t>SENNHEISER ELECTORNIC COROPORATION</w:t>
            </w:r>
            <w:r w:rsidR="00177271" w:rsidRPr="00177271">
              <w:rPr>
                <w:sz w:val="18"/>
                <w:szCs w:val="18"/>
              </w:rPr>
              <w:t>, END USER LICENSE AND WARRANTY</w:t>
            </w:r>
          </w:p>
          <w:p w:rsidR="00314030" w:rsidRDefault="00177271" w:rsidP="00177271">
            <w:pPr>
              <w:pStyle w:val="Footer"/>
              <w:jc w:val="right"/>
            </w:pPr>
            <w:r>
              <w:rPr>
                <w:sz w:val="18"/>
                <w:szCs w:val="18"/>
              </w:rPr>
              <w:t>As of: 9/21/2012</w:t>
            </w:r>
          </w:p>
        </w:sdtContent>
      </w:sdt>
    </w:sdtContent>
  </w:sdt>
  <w:p w:rsidR="00314030" w:rsidRDefault="003140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699" w:rsidRDefault="00D22699">
      <w:r>
        <w:separator/>
      </w:r>
    </w:p>
    <w:p w:rsidR="00D22699" w:rsidRDefault="00D22699"/>
  </w:footnote>
  <w:footnote w:type="continuationSeparator" w:id="0">
    <w:p w:rsidR="00D22699" w:rsidRDefault="00D22699">
      <w:r>
        <w:continuationSeparator/>
      </w:r>
    </w:p>
    <w:p w:rsidR="00D22699" w:rsidRDefault="00D22699"/>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03EE"/>
    <w:multiLevelType w:val="hybridMultilevel"/>
    <w:tmpl w:val="6F208046"/>
    <w:lvl w:ilvl="0" w:tplc="0409000F">
      <w:start w:val="1"/>
      <w:numFmt w:val="decimal"/>
      <w:lvlText w:val="%1."/>
      <w:lvlJc w:val="left"/>
      <w:pPr>
        <w:tabs>
          <w:tab w:val="num" w:pos="720"/>
        </w:tabs>
        <w:ind w:left="720" w:hanging="360"/>
      </w:pPr>
    </w:lvl>
    <w:lvl w:ilvl="1" w:tplc="6854D5F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A0579C"/>
    <w:multiLevelType w:val="hybridMultilevel"/>
    <w:tmpl w:val="1F0ED522"/>
    <w:lvl w:ilvl="0" w:tplc="6758091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nsid w:val="40C80C94"/>
    <w:multiLevelType w:val="hybridMultilevel"/>
    <w:tmpl w:val="E612E75E"/>
    <w:lvl w:ilvl="0" w:tplc="0778FA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F34418"/>
    <w:multiLevelType w:val="hybridMultilevel"/>
    <w:tmpl w:val="981C04F6"/>
    <w:lvl w:ilvl="0" w:tplc="C5D624A8">
      <w:start w:val="1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7A"/>
    <w:rsid w:val="00023F24"/>
    <w:rsid w:val="00027BBA"/>
    <w:rsid w:val="000368F8"/>
    <w:rsid w:val="00040E0D"/>
    <w:rsid w:val="00042753"/>
    <w:rsid w:val="00042C11"/>
    <w:rsid w:val="00044B44"/>
    <w:rsid w:val="00044EA6"/>
    <w:rsid w:val="0004620E"/>
    <w:rsid w:val="00046E81"/>
    <w:rsid w:val="0004744E"/>
    <w:rsid w:val="00053117"/>
    <w:rsid w:val="00055A0D"/>
    <w:rsid w:val="000604F1"/>
    <w:rsid w:val="000614E9"/>
    <w:rsid w:val="0006236D"/>
    <w:rsid w:val="00063D7B"/>
    <w:rsid w:val="00072258"/>
    <w:rsid w:val="000749E7"/>
    <w:rsid w:val="00075D66"/>
    <w:rsid w:val="00081239"/>
    <w:rsid w:val="0008385E"/>
    <w:rsid w:val="000975B4"/>
    <w:rsid w:val="000A1458"/>
    <w:rsid w:val="000B6E1E"/>
    <w:rsid w:val="000C32ED"/>
    <w:rsid w:val="000D0FE4"/>
    <w:rsid w:val="000D32FF"/>
    <w:rsid w:val="000D6287"/>
    <w:rsid w:val="000E2EDE"/>
    <w:rsid w:val="000E5AFC"/>
    <w:rsid w:val="000F13DF"/>
    <w:rsid w:val="000F6C55"/>
    <w:rsid w:val="00101A73"/>
    <w:rsid w:val="00104015"/>
    <w:rsid w:val="00113609"/>
    <w:rsid w:val="001147B4"/>
    <w:rsid w:val="001170B6"/>
    <w:rsid w:val="00120B60"/>
    <w:rsid w:val="00121447"/>
    <w:rsid w:val="0012405A"/>
    <w:rsid w:val="00132BDC"/>
    <w:rsid w:val="00133B6E"/>
    <w:rsid w:val="00141949"/>
    <w:rsid w:val="00145D8D"/>
    <w:rsid w:val="00147980"/>
    <w:rsid w:val="00151123"/>
    <w:rsid w:val="0015224B"/>
    <w:rsid w:val="00153914"/>
    <w:rsid w:val="001566F8"/>
    <w:rsid w:val="001653E0"/>
    <w:rsid w:val="0016618F"/>
    <w:rsid w:val="00170284"/>
    <w:rsid w:val="00171272"/>
    <w:rsid w:val="001725F1"/>
    <w:rsid w:val="00172997"/>
    <w:rsid w:val="00177271"/>
    <w:rsid w:val="0017741C"/>
    <w:rsid w:val="00185C0F"/>
    <w:rsid w:val="00193416"/>
    <w:rsid w:val="001A32B5"/>
    <w:rsid w:val="001A4C48"/>
    <w:rsid w:val="001A7D87"/>
    <w:rsid w:val="001A7E34"/>
    <w:rsid w:val="001B0F3D"/>
    <w:rsid w:val="001B62EC"/>
    <w:rsid w:val="001C1A62"/>
    <w:rsid w:val="001C70A7"/>
    <w:rsid w:val="001D00A4"/>
    <w:rsid w:val="001D5438"/>
    <w:rsid w:val="001E15F4"/>
    <w:rsid w:val="001E3967"/>
    <w:rsid w:val="001E4114"/>
    <w:rsid w:val="001E4F0C"/>
    <w:rsid w:val="001F4C71"/>
    <w:rsid w:val="001F68D2"/>
    <w:rsid w:val="00211360"/>
    <w:rsid w:val="00213E8B"/>
    <w:rsid w:val="002207AE"/>
    <w:rsid w:val="002251DC"/>
    <w:rsid w:val="00235AB4"/>
    <w:rsid w:val="00240DC4"/>
    <w:rsid w:val="002422A9"/>
    <w:rsid w:val="0024752A"/>
    <w:rsid w:val="00251F10"/>
    <w:rsid w:val="00251F3C"/>
    <w:rsid w:val="00257B58"/>
    <w:rsid w:val="00264D1E"/>
    <w:rsid w:val="00270793"/>
    <w:rsid w:val="00296712"/>
    <w:rsid w:val="002A0816"/>
    <w:rsid w:val="002A0823"/>
    <w:rsid w:val="002A1D65"/>
    <w:rsid w:val="002A2111"/>
    <w:rsid w:val="002A747B"/>
    <w:rsid w:val="002B2E5F"/>
    <w:rsid w:val="002B48B1"/>
    <w:rsid w:val="002B4BA5"/>
    <w:rsid w:val="002B4EA2"/>
    <w:rsid w:val="002B55C0"/>
    <w:rsid w:val="002C1A9C"/>
    <w:rsid w:val="002D27BA"/>
    <w:rsid w:val="002D37C0"/>
    <w:rsid w:val="002D6929"/>
    <w:rsid w:val="002E5AEB"/>
    <w:rsid w:val="002E6051"/>
    <w:rsid w:val="002F1D2A"/>
    <w:rsid w:val="003019FE"/>
    <w:rsid w:val="00301EF0"/>
    <w:rsid w:val="00302C5D"/>
    <w:rsid w:val="003035D6"/>
    <w:rsid w:val="00305DE5"/>
    <w:rsid w:val="00305EB0"/>
    <w:rsid w:val="00314030"/>
    <w:rsid w:val="003157B6"/>
    <w:rsid w:val="00327F18"/>
    <w:rsid w:val="003351BF"/>
    <w:rsid w:val="003378A9"/>
    <w:rsid w:val="0034466D"/>
    <w:rsid w:val="00355342"/>
    <w:rsid w:val="00366B5C"/>
    <w:rsid w:val="003706E9"/>
    <w:rsid w:val="003724C8"/>
    <w:rsid w:val="0037745F"/>
    <w:rsid w:val="00384395"/>
    <w:rsid w:val="00385D65"/>
    <w:rsid w:val="00387983"/>
    <w:rsid w:val="00391183"/>
    <w:rsid w:val="0039258B"/>
    <w:rsid w:val="00392AEF"/>
    <w:rsid w:val="00394488"/>
    <w:rsid w:val="003A023D"/>
    <w:rsid w:val="003A0635"/>
    <w:rsid w:val="003A70CF"/>
    <w:rsid w:val="003B108F"/>
    <w:rsid w:val="003B26B9"/>
    <w:rsid w:val="003B5820"/>
    <w:rsid w:val="003B5B1A"/>
    <w:rsid w:val="003B69DD"/>
    <w:rsid w:val="003C1901"/>
    <w:rsid w:val="003C353E"/>
    <w:rsid w:val="003C3E69"/>
    <w:rsid w:val="003C6C66"/>
    <w:rsid w:val="003C6C78"/>
    <w:rsid w:val="003D24F2"/>
    <w:rsid w:val="003D3C5D"/>
    <w:rsid w:val="003D3E46"/>
    <w:rsid w:val="003D61EC"/>
    <w:rsid w:val="003E52E9"/>
    <w:rsid w:val="003F170C"/>
    <w:rsid w:val="003F3A7C"/>
    <w:rsid w:val="004011B6"/>
    <w:rsid w:val="00405587"/>
    <w:rsid w:val="00416E1D"/>
    <w:rsid w:val="004221EB"/>
    <w:rsid w:val="00422C37"/>
    <w:rsid w:val="004279C9"/>
    <w:rsid w:val="004304E9"/>
    <w:rsid w:val="00432B78"/>
    <w:rsid w:val="00444436"/>
    <w:rsid w:val="004504A0"/>
    <w:rsid w:val="00454649"/>
    <w:rsid w:val="004614C9"/>
    <w:rsid w:val="00475730"/>
    <w:rsid w:val="004810A6"/>
    <w:rsid w:val="004818D9"/>
    <w:rsid w:val="00481A86"/>
    <w:rsid w:val="0049426B"/>
    <w:rsid w:val="004B0FEC"/>
    <w:rsid w:val="004B4CA4"/>
    <w:rsid w:val="004B58C2"/>
    <w:rsid w:val="004C1A89"/>
    <w:rsid w:val="004C6D1E"/>
    <w:rsid w:val="004D09DC"/>
    <w:rsid w:val="004D1CFC"/>
    <w:rsid w:val="004D3CB1"/>
    <w:rsid w:val="004D4CC7"/>
    <w:rsid w:val="004E7623"/>
    <w:rsid w:val="004F1EB2"/>
    <w:rsid w:val="00512B40"/>
    <w:rsid w:val="00512F7F"/>
    <w:rsid w:val="0051502A"/>
    <w:rsid w:val="005168FB"/>
    <w:rsid w:val="00525AA0"/>
    <w:rsid w:val="00527514"/>
    <w:rsid w:val="00535350"/>
    <w:rsid w:val="00537966"/>
    <w:rsid w:val="00540270"/>
    <w:rsid w:val="005423D3"/>
    <w:rsid w:val="00552C25"/>
    <w:rsid w:val="005537F5"/>
    <w:rsid w:val="0056184F"/>
    <w:rsid w:val="00564624"/>
    <w:rsid w:val="00565BF1"/>
    <w:rsid w:val="005660A0"/>
    <w:rsid w:val="00571752"/>
    <w:rsid w:val="005832C0"/>
    <w:rsid w:val="00584337"/>
    <w:rsid w:val="005968F2"/>
    <w:rsid w:val="00597376"/>
    <w:rsid w:val="005A0200"/>
    <w:rsid w:val="005A3099"/>
    <w:rsid w:val="005B0E6D"/>
    <w:rsid w:val="005C24E3"/>
    <w:rsid w:val="005C5A21"/>
    <w:rsid w:val="005D74D5"/>
    <w:rsid w:val="005E2366"/>
    <w:rsid w:val="005E558F"/>
    <w:rsid w:val="005E678A"/>
    <w:rsid w:val="005F0718"/>
    <w:rsid w:val="005F124B"/>
    <w:rsid w:val="005F181A"/>
    <w:rsid w:val="005F6D32"/>
    <w:rsid w:val="006010C5"/>
    <w:rsid w:val="00620389"/>
    <w:rsid w:val="006238FD"/>
    <w:rsid w:val="00623ABB"/>
    <w:rsid w:val="00635128"/>
    <w:rsid w:val="006415AF"/>
    <w:rsid w:val="0064547A"/>
    <w:rsid w:val="00655779"/>
    <w:rsid w:val="00656F71"/>
    <w:rsid w:val="00661A51"/>
    <w:rsid w:val="00665616"/>
    <w:rsid w:val="006725E3"/>
    <w:rsid w:val="00677CBF"/>
    <w:rsid w:val="00683197"/>
    <w:rsid w:val="00687BEC"/>
    <w:rsid w:val="006905C3"/>
    <w:rsid w:val="0069071E"/>
    <w:rsid w:val="00694E1F"/>
    <w:rsid w:val="006A393D"/>
    <w:rsid w:val="006A7393"/>
    <w:rsid w:val="006B0F9B"/>
    <w:rsid w:val="006B786A"/>
    <w:rsid w:val="006C1CA7"/>
    <w:rsid w:val="006C2FB9"/>
    <w:rsid w:val="006C596A"/>
    <w:rsid w:val="006D64A5"/>
    <w:rsid w:val="006E278D"/>
    <w:rsid w:val="006F1414"/>
    <w:rsid w:val="006F2279"/>
    <w:rsid w:val="00705A41"/>
    <w:rsid w:val="007102A8"/>
    <w:rsid w:val="00712DD7"/>
    <w:rsid w:val="007247C9"/>
    <w:rsid w:val="00731E05"/>
    <w:rsid w:val="007323F0"/>
    <w:rsid w:val="00734BD8"/>
    <w:rsid w:val="00735FF5"/>
    <w:rsid w:val="00741705"/>
    <w:rsid w:val="00743D65"/>
    <w:rsid w:val="007568BC"/>
    <w:rsid w:val="00760164"/>
    <w:rsid w:val="00761D2F"/>
    <w:rsid w:val="00764888"/>
    <w:rsid w:val="00766786"/>
    <w:rsid w:val="00772CAE"/>
    <w:rsid w:val="007773C5"/>
    <w:rsid w:val="00777F21"/>
    <w:rsid w:val="00782398"/>
    <w:rsid w:val="0078284B"/>
    <w:rsid w:val="00785B92"/>
    <w:rsid w:val="00786FC1"/>
    <w:rsid w:val="0078774C"/>
    <w:rsid w:val="00787F1E"/>
    <w:rsid w:val="00790757"/>
    <w:rsid w:val="007910D0"/>
    <w:rsid w:val="007916FB"/>
    <w:rsid w:val="007A1926"/>
    <w:rsid w:val="007A2512"/>
    <w:rsid w:val="007A521D"/>
    <w:rsid w:val="007A659A"/>
    <w:rsid w:val="007A6F6E"/>
    <w:rsid w:val="007A7509"/>
    <w:rsid w:val="007B18A1"/>
    <w:rsid w:val="007B54D7"/>
    <w:rsid w:val="007B578F"/>
    <w:rsid w:val="007C0EE0"/>
    <w:rsid w:val="007C277A"/>
    <w:rsid w:val="007C7951"/>
    <w:rsid w:val="007D18A9"/>
    <w:rsid w:val="007D3D56"/>
    <w:rsid w:val="007D3F01"/>
    <w:rsid w:val="008037E7"/>
    <w:rsid w:val="00803E05"/>
    <w:rsid w:val="00811155"/>
    <w:rsid w:val="00815837"/>
    <w:rsid w:val="008164B6"/>
    <w:rsid w:val="00816657"/>
    <w:rsid w:val="00823BFB"/>
    <w:rsid w:val="0083116C"/>
    <w:rsid w:val="008311FC"/>
    <w:rsid w:val="00833862"/>
    <w:rsid w:val="00841296"/>
    <w:rsid w:val="00841345"/>
    <w:rsid w:val="00842359"/>
    <w:rsid w:val="00850395"/>
    <w:rsid w:val="0085048E"/>
    <w:rsid w:val="00852E08"/>
    <w:rsid w:val="00855B1A"/>
    <w:rsid w:val="00856768"/>
    <w:rsid w:val="008653D4"/>
    <w:rsid w:val="00866DF6"/>
    <w:rsid w:val="00873970"/>
    <w:rsid w:val="00883CE6"/>
    <w:rsid w:val="00884BC3"/>
    <w:rsid w:val="00884C9B"/>
    <w:rsid w:val="00886479"/>
    <w:rsid w:val="008930CE"/>
    <w:rsid w:val="008930F4"/>
    <w:rsid w:val="008A0FC5"/>
    <w:rsid w:val="008A16D9"/>
    <w:rsid w:val="008A7018"/>
    <w:rsid w:val="008A74AC"/>
    <w:rsid w:val="008B22D8"/>
    <w:rsid w:val="008B5956"/>
    <w:rsid w:val="008B5B4C"/>
    <w:rsid w:val="008B6751"/>
    <w:rsid w:val="008B7DD5"/>
    <w:rsid w:val="008C3021"/>
    <w:rsid w:val="008D27F2"/>
    <w:rsid w:val="008D5853"/>
    <w:rsid w:val="008E082B"/>
    <w:rsid w:val="008F576B"/>
    <w:rsid w:val="0090631C"/>
    <w:rsid w:val="00911391"/>
    <w:rsid w:val="00916252"/>
    <w:rsid w:val="00921D34"/>
    <w:rsid w:val="0092279C"/>
    <w:rsid w:val="00922C32"/>
    <w:rsid w:val="0092431D"/>
    <w:rsid w:val="0093066D"/>
    <w:rsid w:val="00937A2E"/>
    <w:rsid w:val="00943ABD"/>
    <w:rsid w:val="009452F8"/>
    <w:rsid w:val="00947F26"/>
    <w:rsid w:val="00961293"/>
    <w:rsid w:val="00964042"/>
    <w:rsid w:val="009672B0"/>
    <w:rsid w:val="00967875"/>
    <w:rsid w:val="0097509F"/>
    <w:rsid w:val="00985A36"/>
    <w:rsid w:val="00987550"/>
    <w:rsid w:val="00991531"/>
    <w:rsid w:val="00994043"/>
    <w:rsid w:val="00995106"/>
    <w:rsid w:val="009C23C7"/>
    <w:rsid w:val="009C6E64"/>
    <w:rsid w:val="009D67BC"/>
    <w:rsid w:val="009E3615"/>
    <w:rsid w:val="00A02157"/>
    <w:rsid w:val="00A028B0"/>
    <w:rsid w:val="00A03976"/>
    <w:rsid w:val="00A03F2F"/>
    <w:rsid w:val="00A12567"/>
    <w:rsid w:val="00A25A93"/>
    <w:rsid w:val="00A32097"/>
    <w:rsid w:val="00A33110"/>
    <w:rsid w:val="00A33BEF"/>
    <w:rsid w:val="00A3690F"/>
    <w:rsid w:val="00A3755C"/>
    <w:rsid w:val="00A479EF"/>
    <w:rsid w:val="00A47C51"/>
    <w:rsid w:val="00A61EDF"/>
    <w:rsid w:val="00A63C71"/>
    <w:rsid w:val="00A6586F"/>
    <w:rsid w:val="00A666CB"/>
    <w:rsid w:val="00A77853"/>
    <w:rsid w:val="00A80688"/>
    <w:rsid w:val="00A80BF4"/>
    <w:rsid w:val="00A91228"/>
    <w:rsid w:val="00A95A90"/>
    <w:rsid w:val="00AA4B17"/>
    <w:rsid w:val="00AA4DE8"/>
    <w:rsid w:val="00AB2DD8"/>
    <w:rsid w:val="00AB509E"/>
    <w:rsid w:val="00AB79E1"/>
    <w:rsid w:val="00AC5BC1"/>
    <w:rsid w:val="00AD15C8"/>
    <w:rsid w:val="00AD6014"/>
    <w:rsid w:val="00AE1633"/>
    <w:rsid w:val="00AF039B"/>
    <w:rsid w:val="00AF2ED8"/>
    <w:rsid w:val="00B0479E"/>
    <w:rsid w:val="00B07329"/>
    <w:rsid w:val="00B16F83"/>
    <w:rsid w:val="00B23493"/>
    <w:rsid w:val="00B261FE"/>
    <w:rsid w:val="00B26ACC"/>
    <w:rsid w:val="00B27A4D"/>
    <w:rsid w:val="00B32E8B"/>
    <w:rsid w:val="00B34075"/>
    <w:rsid w:val="00B44F4A"/>
    <w:rsid w:val="00B47636"/>
    <w:rsid w:val="00B52960"/>
    <w:rsid w:val="00B53447"/>
    <w:rsid w:val="00B53BAD"/>
    <w:rsid w:val="00B566D5"/>
    <w:rsid w:val="00B66D01"/>
    <w:rsid w:val="00B67578"/>
    <w:rsid w:val="00B82FAC"/>
    <w:rsid w:val="00B905E3"/>
    <w:rsid w:val="00B91F81"/>
    <w:rsid w:val="00B94B2F"/>
    <w:rsid w:val="00B96ED9"/>
    <w:rsid w:val="00BA0038"/>
    <w:rsid w:val="00BA39A2"/>
    <w:rsid w:val="00BA5C23"/>
    <w:rsid w:val="00BB294E"/>
    <w:rsid w:val="00BB5169"/>
    <w:rsid w:val="00BB62FB"/>
    <w:rsid w:val="00BB6FD4"/>
    <w:rsid w:val="00BB7525"/>
    <w:rsid w:val="00BB78E6"/>
    <w:rsid w:val="00BC3245"/>
    <w:rsid w:val="00BC60BC"/>
    <w:rsid w:val="00BD20C0"/>
    <w:rsid w:val="00BE13B8"/>
    <w:rsid w:val="00BE577B"/>
    <w:rsid w:val="00BE66F5"/>
    <w:rsid w:val="00BF187E"/>
    <w:rsid w:val="00BF1CD4"/>
    <w:rsid w:val="00C02C2B"/>
    <w:rsid w:val="00C03663"/>
    <w:rsid w:val="00C06702"/>
    <w:rsid w:val="00C151BC"/>
    <w:rsid w:val="00C17038"/>
    <w:rsid w:val="00C20EA4"/>
    <w:rsid w:val="00C31C29"/>
    <w:rsid w:val="00C33ECE"/>
    <w:rsid w:val="00C35AD8"/>
    <w:rsid w:val="00C3695A"/>
    <w:rsid w:val="00C37635"/>
    <w:rsid w:val="00C4001B"/>
    <w:rsid w:val="00C43F1E"/>
    <w:rsid w:val="00C4605F"/>
    <w:rsid w:val="00C47BA1"/>
    <w:rsid w:val="00C565E8"/>
    <w:rsid w:val="00C63576"/>
    <w:rsid w:val="00C64A4D"/>
    <w:rsid w:val="00C673C9"/>
    <w:rsid w:val="00C67872"/>
    <w:rsid w:val="00C711C6"/>
    <w:rsid w:val="00C8533F"/>
    <w:rsid w:val="00C85F59"/>
    <w:rsid w:val="00CA0211"/>
    <w:rsid w:val="00CA5C2F"/>
    <w:rsid w:val="00CA77C4"/>
    <w:rsid w:val="00CB1EC7"/>
    <w:rsid w:val="00CB5351"/>
    <w:rsid w:val="00CB78D1"/>
    <w:rsid w:val="00CC1BB1"/>
    <w:rsid w:val="00CC2A82"/>
    <w:rsid w:val="00CC49E8"/>
    <w:rsid w:val="00CC76FC"/>
    <w:rsid w:val="00CC77D2"/>
    <w:rsid w:val="00CD0C2D"/>
    <w:rsid w:val="00CD2FB9"/>
    <w:rsid w:val="00CE77A8"/>
    <w:rsid w:val="00CF0777"/>
    <w:rsid w:val="00CF1786"/>
    <w:rsid w:val="00CF2495"/>
    <w:rsid w:val="00D026A5"/>
    <w:rsid w:val="00D04AA8"/>
    <w:rsid w:val="00D0585D"/>
    <w:rsid w:val="00D05AF6"/>
    <w:rsid w:val="00D05E88"/>
    <w:rsid w:val="00D11159"/>
    <w:rsid w:val="00D123B7"/>
    <w:rsid w:val="00D22699"/>
    <w:rsid w:val="00D24206"/>
    <w:rsid w:val="00D266F0"/>
    <w:rsid w:val="00D278F9"/>
    <w:rsid w:val="00D3108A"/>
    <w:rsid w:val="00D33471"/>
    <w:rsid w:val="00D4050A"/>
    <w:rsid w:val="00D41AF1"/>
    <w:rsid w:val="00D42328"/>
    <w:rsid w:val="00D44025"/>
    <w:rsid w:val="00D600BC"/>
    <w:rsid w:val="00D63A4F"/>
    <w:rsid w:val="00D66552"/>
    <w:rsid w:val="00D74725"/>
    <w:rsid w:val="00D7504D"/>
    <w:rsid w:val="00D80938"/>
    <w:rsid w:val="00D825D5"/>
    <w:rsid w:val="00DA244B"/>
    <w:rsid w:val="00DA508B"/>
    <w:rsid w:val="00DA782A"/>
    <w:rsid w:val="00DA7B19"/>
    <w:rsid w:val="00DB171B"/>
    <w:rsid w:val="00DB1ECB"/>
    <w:rsid w:val="00DB39C1"/>
    <w:rsid w:val="00DB6DB7"/>
    <w:rsid w:val="00DD3741"/>
    <w:rsid w:val="00DD53E6"/>
    <w:rsid w:val="00DD594F"/>
    <w:rsid w:val="00DD720E"/>
    <w:rsid w:val="00E0554A"/>
    <w:rsid w:val="00E05B0F"/>
    <w:rsid w:val="00E07774"/>
    <w:rsid w:val="00E1425C"/>
    <w:rsid w:val="00E34036"/>
    <w:rsid w:val="00E35BD8"/>
    <w:rsid w:val="00E4107F"/>
    <w:rsid w:val="00E421FB"/>
    <w:rsid w:val="00E43FCC"/>
    <w:rsid w:val="00E44A5D"/>
    <w:rsid w:val="00E45174"/>
    <w:rsid w:val="00E50AC6"/>
    <w:rsid w:val="00E53978"/>
    <w:rsid w:val="00E53FCB"/>
    <w:rsid w:val="00E54CC9"/>
    <w:rsid w:val="00E60E65"/>
    <w:rsid w:val="00E6211A"/>
    <w:rsid w:val="00E626B1"/>
    <w:rsid w:val="00E632F7"/>
    <w:rsid w:val="00E65B16"/>
    <w:rsid w:val="00E670D7"/>
    <w:rsid w:val="00E70404"/>
    <w:rsid w:val="00E732B8"/>
    <w:rsid w:val="00E73612"/>
    <w:rsid w:val="00E737E6"/>
    <w:rsid w:val="00E82F6C"/>
    <w:rsid w:val="00E9060B"/>
    <w:rsid w:val="00E9330B"/>
    <w:rsid w:val="00E9601C"/>
    <w:rsid w:val="00E97F63"/>
    <w:rsid w:val="00EB073F"/>
    <w:rsid w:val="00EB0D42"/>
    <w:rsid w:val="00EB25D1"/>
    <w:rsid w:val="00EB3D15"/>
    <w:rsid w:val="00EB3DCF"/>
    <w:rsid w:val="00EB7396"/>
    <w:rsid w:val="00EC2A83"/>
    <w:rsid w:val="00ED0303"/>
    <w:rsid w:val="00ED7D99"/>
    <w:rsid w:val="00EE70C4"/>
    <w:rsid w:val="00EF2795"/>
    <w:rsid w:val="00EF4769"/>
    <w:rsid w:val="00F169E2"/>
    <w:rsid w:val="00F16D96"/>
    <w:rsid w:val="00F23EAD"/>
    <w:rsid w:val="00F321FA"/>
    <w:rsid w:val="00F34096"/>
    <w:rsid w:val="00F41D0B"/>
    <w:rsid w:val="00F42291"/>
    <w:rsid w:val="00F42D27"/>
    <w:rsid w:val="00F462F0"/>
    <w:rsid w:val="00F53D1B"/>
    <w:rsid w:val="00F55DCF"/>
    <w:rsid w:val="00F5723C"/>
    <w:rsid w:val="00F6645C"/>
    <w:rsid w:val="00F6733A"/>
    <w:rsid w:val="00F749E8"/>
    <w:rsid w:val="00F85693"/>
    <w:rsid w:val="00F87187"/>
    <w:rsid w:val="00F8720F"/>
    <w:rsid w:val="00F87D8B"/>
    <w:rsid w:val="00F91196"/>
    <w:rsid w:val="00F912AF"/>
    <w:rsid w:val="00F91C71"/>
    <w:rsid w:val="00F95F9A"/>
    <w:rsid w:val="00FA55C0"/>
    <w:rsid w:val="00FB048F"/>
    <w:rsid w:val="00FB1C34"/>
    <w:rsid w:val="00FB45B0"/>
    <w:rsid w:val="00FB59A7"/>
    <w:rsid w:val="00FC2625"/>
    <w:rsid w:val="00FC2809"/>
    <w:rsid w:val="00FC5059"/>
    <w:rsid w:val="00FC6D5C"/>
    <w:rsid w:val="00FD07E8"/>
    <w:rsid w:val="00FD1C6D"/>
    <w:rsid w:val="00FD7132"/>
    <w:rsid w:val="00FD7EF7"/>
    <w:rsid w:val="00FE2148"/>
    <w:rsid w:val="00FE5361"/>
    <w:rsid w:val="00FF380C"/>
    <w:rsid w:val="00FF5898"/>
    <w:rsid w:val="00FF5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E1E"/>
    <w:rPr>
      <w:sz w:val="24"/>
      <w:szCs w:val="24"/>
    </w:rPr>
  </w:style>
  <w:style w:type="paragraph" w:styleId="Heading1">
    <w:name w:val="heading 1"/>
    <w:basedOn w:val="Normal"/>
    <w:next w:val="Normal"/>
    <w:qFormat/>
    <w:rsid w:val="008A74AC"/>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604F1"/>
    <w:pPr>
      <w:ind w:firstLine="720"/>
      <w:jc w:val="both"/>
    </w:pPr>
    <w:rPr>
      <w:szCs w:val="20"/>
    </w:rPr>
  </w:style>
  <w:style w:type="paragraph" w:styleId="Header">
    <w:name w:val="header"/>
    <w:basedOn w:val="Normal"/>
    <w:rsid w:val="00C8533F"/>
    <w:pPr>
      <w:tabs>
        <w:tab w:val="center" w:pos="4320"/>
        <w:tab w:val="right" w:pos="8640"/>
      </w:tabs>
    </w:pPr>
  </w:style>
  <w:style w:type="paragraph" w:styleId="Footer">
    <w:name w:val="footer"/>
    <w:basedOn w:val="Normal"/>
    <w:link w:val="FooterChar"/>
    <w:uiPriority w:val="99"/>
    <w:rsid w:val="00C8533F"/>
    <w:pPr>
      <w:tabs>
        <w:tab w:val="center" w:pos="4320"/>
        <w:tab w:val="right" w:pos="8640"/>
      </w:tabs>
    </w:pPr>
  </w:style>
  <w:style w:type="character" w:styleId="PageNumber">
    <w:name w:val="page number"/>
    <w:basedOn w:val="DefaultParagraphFont"/>
    <w:rsid w:val="00C8533F"/>
  </w:style>
  <w:style w:type="paragraph" w:styleId="BalloonText">
    <w:name w:val="Balloon Text"/>
    <w:basedOn w:val="Normal"/>
    <w:semiHidden/>
    <w:rsid w:val="0024752A"/>
    <w:rPr>
      <w:rFonts w:ascii="Tahoma" w:hAnsi="Tahoma" w:cs="Tahoma"/>
      <w:sz w:val="16"/>
      <w:szCs w:val="16"/>
    </w:rPr>
  </w:style>
  <w:style w:type="character" w:styleId="CommentReference">
    <w:name w:val="annotation reference"/>
    <w:basedOn w:val="DefaultParagraphFont"/>
    <w:semiHidden/>
    <w:rsid w:val="00E97F63"/>
    <w:rPr>
      <w:sz w:val="16"/>
      <w:szCs w:val="16"/>
    </w:rPr>
  </w:style>
  <w:style w:type="paragraph" w:styleId="CommentText">
    <w:name w:val="annotation text"/>
    <w:basedOn w:val="Normal"/>
    <w:semiHidden/>
    <w:rsid w:val="00E97F63"/>
    <w:rPr>
      <w:sz w:val="20"/>
      <w:szCs w:val="20"/>
    </w:rPr>
  </w:style>
  <w:style w:type="paragraph" w:styleId="CommentSubject">
    <w:name w:val="annotation subject"/>
    <w:basedOn w:val="CommentText"/>
    <w:next w:val="CommentText"/>
    <w:semiHidden/>
    <w:rsid w:val="00E97F63"/>
    <w:rPr>
      <w:b/>
      <w:bCs/>
    </w:rPr>
  </w:style>
  <w:style w:type="table" w:styleId="TableGrid">
    <w:name w:val="Table Grid"/>
    <w:basedOn w:val="TableNormal"/>
    <w:rsid w:val="00D75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20389"/>
    <w:rPr>
      <w:rFonts w:ascii="Verdana" w:hAnsi="Verdana" w:hint="default"/>
      <w:color w:val="0033FF"/>
      <w:sz w:val="20"/>
      <w:szCs w:val="20"/>
      <w:u w:val="single"/>
    </w:rPr>
  </w:style>
  <w:style w:type="paragraph" w:styleId="ListParagraph">
    <w:name w:val="List Paragraph"/>
    <w:basedOn w:val="Normal"/>
    <w:uiPriority w:val="34"/>
    <w:qFormat/>
    <w:rsid w:val="00B66D01"/>
    <w:pPr>
      <w:ind w:left="720"/>
      <w:contextualSpacing/>
    </w:pPr>
  </w:style>
  <w:style w:type="character" w:customStyle="1" w:styleId="FooterChar">
    <w:name w:val="Footer Char"/>
    <w:basedOn w:val="DefaultParagraphFont"/>
    <w:link w:val="Footer"/>
    <w:uiPriority w:val="99"/>
    <w:rsid w:val="0031403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E1E"/>
    <w:rPr>
      <w:sz w:val="24"/>
      <w:szCs w:val="24"/>
    </w:rPr>
  </w:style>
  <w:style w:type="paragraph" w:styleId="Heading1">
    <w:name w:val="heading 1"/>
    <w:basedOn w:val="Normal"/>
    <w:next w:val="Normal"/>
    <w:qFormat/>
    <w:rsid w:val="008A74AC"/>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604F1"/>
    <w:pPr>
      <w:ind w:firstLine="720"/>
      <w:jc w:val="both"/>
    </w:pPr>
    <w:rPr>
      <w:szCs w:val="20"/>
    </w:rPr>
  </w:style>
  <w:style w:type="paragraph" w:styleId="Header">
    <w:name w:val="header"/>
    <w:basedOn w:val="Normal"/>
    <w:rsid w:val="00C8533F"/>
    <w:pPr>
      <w:tabs>
        <w:tab w:val="center" w:pos="4320"/>
        <w:tab w:val="right" w:pos="8640"/>
      </w:tabs>
    </w:pPr>
  </w:style>
  <w:style w:type="paragraph" w:styleId="Footer">
    <w:name w:val="footer"/>
    <w:basedOn w:val="Normal"/>
    <w:link w:val="FooterChar"/>
    <w:uiPriority w:val="99"/>
    <w:rsid w:val="00C8533F"/>
    <w:pPr>
      <w:tabs>
        <w:tab w:val="center" w:pos="4320"/>
        <w:tab w:val="right" w:pos="8640"/>
      </w:tabs>
    </w:pPr>
  </w:style>
  <w:style w:type="character" w:styleId="PageNumber">
    <w:name w:val="page number"/>
    <w:basedOn w:val="DefaultParagraphFont"/>
    <w:rsid w:val="00C8533F"/>
  </w:style>
  <w:style w:type="paragraph" w:styleId="BalloonText">
    <w:name w:val="Balloon Text"/>
    <w:basedOn w:val="Normal"/>
    <w:semiHidden/>
    <w:rsid w:val="0024752A"/>
    <w:rPr>
      <w:rFonts w:ascii="Tahoma" w:hAnsi="Tahoma" w:cs="Tahoma"/>
      <w:sz w:val="16"/>
      <w:szCs w:val="16"/>
    </w:rPr>
  </w:style>
  <w:style w:type="character" w:styleId="CommentReference">
    <w:name w:val="annotation reference"/>
    <w:basedOn w:val="DefaultParagraphFont"/>
    <w:semiHidden/>
    <w:rsid w:val="00E97F63"/>
    <w:rPr>
      <w:sz w:val="16"/>
      <w:szCs w:val="16"/>
    </w:rPr>
  </w:style>
  <w:style w:type="paragraph" w:styleId="CommentText">
    <w:name w:val="annotation text"/>
    <w:basedOn w:val="Normal"/>
    <w:semiHidden/>
    <w:rsid w:val="00E97F63"/>
    <w:rPr>
      <w:sz w:val="20"/>
      <w:szCs w:val="20"/>
    </w:rPr>
  </w:style>
  <w:style w:type="paragraph" w:styleId="CommentSubject">
    <w:name w:val="annotation subject"/>
    <w:basedOn w:val="CommentText"/>
    <w:next w:val="CommentText"/>
    <w:semiHidden/>
    <w:rsid w:val="00E97F63"/>
    <w:rPr>
      <w:b/>
      <w:bCs/>
    </w:rPr>
  </w:style>
  <w:style w:type="table" w:styleId="TableGrid">
    <w:name w:val="Table Grid"/>
    <w:basedOn w:val="TableNormal"/>
    <w:rsid w:val="00D75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20389"/>
    <w:rPr>
      <w:rFonts w:ascii="Verdana" w:hAnsi="Verdana" w:hint="default"/>
      <w:color w:val="0033FF"/>
      <w:sz w:val="20"/>
      <w:szCs w:val="20"/>
      <w:u w:val="single"/>
    </w:rPr>
  </w:style>
  <w:style w:type="paragraph" w:styleId="ListParagraph">
    <w:name w:val="List Paragraph"/>
    <w:basedOn w:val="Normal"/>
    <w:uiPriority w:val="34"/>
    <w:qFormat/>
    <w:rsid w:val="00B66D01"/>
    <w:pPr>
      <w:ind w:left="720"/>
      <w:contextualSpacing/>
    </w:pPr>
  </w:style>
  <w:style w:type="character" w:customStyle="1" w:styleId="FooterChar">
    <w:name w:val="Footer Char"/>
    <w:basedOn w:val="DefaultParagraphFont"/>
    <w:link w:val="Footer"/>
    <w:uiPriority w:val="99"/>
    <w:rsid w:val="003140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094735">
      <w:bodyDiv w:val="1"/>
      <w:marLeft w:val="0"/>
      <w:marRight w:val="0"/>
      <w:marTop w:val="0"/>
      <w:marBottom w:val="0"/>
      <w:divBdr>
        <w:top w:val="none" w:sz="0" w:space="0" w:color="auto"/>
        <w:left w:val="none" w:sz="0" w:space="0" w:color="auto"/>
        <w:bottom w:val="none" w:sz="0" w:space="0" w:color="auto"/>
        <w:right w:val="none" w:sz="0" w:space="0" w:color="auto"/>
      </w:divBdr>
    </w:div>
    <w:div w:id="1342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2B3BE-3F29-CF41-9052-6D868522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ONE-TIME RESELLER AGREEMENT</vt:lpstr>
    </vt:vector>
  </TitlesOfParts>
  <Company>NACR</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ONE-TIME RESELLER AGREEMENT</dc:title>
  <dc:creator>NACR</dc:creator>
  <cp:lastModifiedBy>Derek Smith</cp:lastModifiedBy>
  <cp:revision>2</cp:revision>
  <cp:lastPrinted>2008-07-02T20:19:00Z</cp:lastPrinted>
  <dcterms:created xsi:type="dcterms:W3CDTF">2015-11-13T20:40:00Z</dcterms:created>
  <dcterms:modified xsi:type="dcterms:W3CDTF">2015-11-13T20:40:00Z</dcterms:modified>
</cp:coreProperties>
</file>